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83818" w14:textId="77777777" w:rsidR="009F7359" w:rsidRPr="00D2793A" w:rsidRDefault="00340EDD">
      <w:pPr>
        <w:spacing w:before="100" w:beforeAutospacing="1" w:after="100" w:afterAutospacing="1" w:line="240" w:lineRule="auto"/>
        <w:jc w:val="both"/>
        <w:outlineLvl w:val="0"/>
        <w:rPr>
          <w:rFonts w:ascii="Century Gothic" w:eastAsia="Times New Roman" w:hAnsi="Century Gothic" w:cs="Times New Roman"/>
          <w:b/>
          <w:bCs/>
          <w:kern w:val="36"/>
          <w:sz w:val="24"/>
          <w:szCs w:val="24"/>
          <w:lang w:eastAsia="en-GB"/>
        </w:rPr>
      </w:pPr>
      <w:r w:rsidRPr="00D2793A">
        <w:rPr>
          <w:rFonts w:ascii="Century Gothic" w:eastAsia="Times New Roman" w:hAnsi="Century Gothic" w:cs="Times New Roman"/>
          <w:b/>
          <w:bCs/>
          <w:kern w:val="36"/>
          <w:sz w:val="24"/>
          <w:szCs w:val="24"/>
          <w:lang w:eastAsia="en-GB"/>
        </w:rPr>
        <w:t>International African Energy, Oil and Gas Summit (IAEOGS 202</w:t>
      </w:r>
      <w:r w:rsidRPr="00D2793A">
        <w:rPr>
          <w:rFonts w:ascii="Century Gothic" w:eastAsia="Times New Roman" w:hAnsi="Century Gothic" w:cs="Times New Roman"/>
          <w:b/>
          <w:bCs/>
          <w:kern w:val="36"/>
          <w:sz w:val="24"/>
          <w:szCs w:val="24"/>
          <w:lang w:val="en-US" w:eastAsia="en-GB"/>
        </w:rPr>
        <w:t>6</w:t>
      </w:r>
      <w:r w:rsidRPr="00D2793A">
        <w:rPr>
          <w:rFonts w:ascii="Century Gothic" w:eastAsia="Times New Roman" w:hAnsi="Century Gothic" w:cs="Times New Roman"/>
          <w:b/>
          <w:bCs/>
          <w:kern w:val="36"/>
          <w:sz w:val="24"/>
          <w:szCs w:val="24"/>
          <w:lang w:eastAsia="en-GB"/>
        </w:rPr>
        <w:t>)</w:t>
      </w:r>
    </w:p>
    <w:p w14:paraId="2C8B52AC" w14:textId="5E9BD2E3"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Igniting Africa’s Energy </w:t>
      </w:r>
      <w:r w:rsidR="00D2793A">
        <w:rPr>
          <w:rFonts w:ascii="Century Gothic" w:hAnsi="Century Gothic"/>
          <w:sz w:val="24"/>
          <w:szCs w:val="24"/>
          <w:lang w:val="en-US"/>
        </w:rPr>
        <w:t xml:space="preserve">and Land Governance </w:t>
      </w:r>
      <w:r w:rsidRPr="00D2793A">
        <w:rPr>
          <w:rFonts w:ascii="Century Gothic" w:hAnsi="Century Gothic"/>
          <w:sz w:val="24"/>
          <w:szCs w:val="24"/>
          <w:lang w:val="en-US"/>
        </w:rPr>
        <w:t>Future</w:t>
      </w:r>
    </w:p>
    <w:p w14:paraId="112D1C5D" w14:textId="72A68873"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The International African Energy, Oil and Gas Summit (IAEOGS) 2026 returns for its 5th Edition, convening in Namibia as a Luxury Edition of Africa’s foremost </w:t>
      </w:r>
      <w:r w:rsidRPr="00D2793A">
        <w:rPr>
          <w:rFonts w:ascii="Century Gothic" w:hAnsi="Century Gothic"/>
          <w:sz w:val="24"/>
          <w:szCs w:val="24"/>
          <w:lang w:val="en-US"/>
        </w:rPr>
        <w:t>energy</w:t>
      </w:r>
      <w:r w:rsidR="00D2793A" w:rsidRPr="00D2793A">
        <w:rPr>
          <w:rFonts w:ascii="Century Gothic" w:hAnsi="Century Gothic"/>
          <w:sz w:val="24"/>
          <w:szCs w:val="24"/>
          <w:lang w:val="en-US"/>
        </w:rPr>
        <w:t xml:space="preserve"> investment and policy platform</w:t>
      </w:r>
    </w:p>
    <w:p w14:paraId="38A15D9F" w14:textId="77777777" w:rsidR="00D2793A" w:rsidRPr="00D2793A" w:rsidRDefault="00D2793A" w:rsidP="00D2793A">
      <w:pPr>
        <w:shd w:val="clear" w:color="auto" w:fill="FFFFFF"/>
        <w:jc w:val="both"/>
        <w:rPr>
          <w:rFonts w:ascii="Century Gothic" w:hAnsi="Century Gothic"/>
          <w:color w:val="1A1A1A"/>
          <w:sz w:val="24"/>
          <w:szCs w:val="24"/>
          <w:shd w:val="clear" w:color="auto" w:fill="FFFFFF"/>
        </w:rPr>
      </w:pPr>
      <w:r w:rsidRPr="00D2793A">
        <w:rPr>
          <w:rFonts w:ascii="Century Gothic" w:hAnsi="Century Gothic"/>
          <w:color w:val="1A1A1A"/>
          <w:sz w:val="24"/>
          <w:szCs w:val="24"/>
          <w:shd w:val="clear" w:color="auto" w:fill="FFFFFF"/>
        </w:rPr>
        <w:t>The International African Energy, Oil and Gas Summit (IAEOGS), is organized by African Energy World, African Energy Vault Ltd, African Peace Magazine UK, International Energy Summits ltd and African Energy Academy ltd.</w:t>
      </w:r>
    </w:p>
    <w:p w14:paraId="21916525" w14:textId="77777777" w:rsidR="00D2793A" w:rsidRPr="00D2793A" w:rsidRDefault="00D2793A" w:rsidP="00D2793A">
      <w:pPr>
        <w:shd w:val="clear" w:color="auto" w:fill="FFFFFF"/>
        <w:jc w:val="both"/>
        <w:rPr>
          <w:rFonts w:ascii="Century Gothic" w:hAnsi="Century Gothic"/>
          <w:color w:val="1A1A1A"/>
          <w:sz w:val="24"/>
          <w:szCs w:val="24"/>
          <w:shd w:val="clear" w:color="auto" w:fill="FFFFFF"/>
        </w:rPr>
      </w:pPr>
      <w:r w:rsidRPr="00D2793A">
        <w:rPr>
          <w:rFonts w:ascii="Century Gothic" w:hAnsi="Century Gothic"/>
          <w:color w:val="1A1A1A"/>
          <w:sz w:val="24"/>
          <w:szCs w:val="24"/>
          <w:shd w:val="clear" w:color="auto" w:fill="FFFFFF"/>
        </w:rPr>
        <w:t xml:space="preserve">This edition is convened in partnership, the Namibia University of Science and Technology (NUST; ILLH), as Co-host, the Network of Excellence on Land Governance in Africa (NELGA), CRG Research &amp; Consulting Ltd (CRG)and Crude Oil Refinery-owners Association of Nigeria as strategic partners. </w:t>
      </w:r>
    </w:p>
    <w:p w14:paraId="45B57F28"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Scheduled to hold in Namibia, a global hub for energy diplomacy, LNG leadership, and international finance, IAEOGS 2026 will bring together over 1,000 delegates, 250 exhibitors, 200 speakers, an</w:t>
      </w:r>
      <w:r w:rsidRPr="00D2793A">
        <w:rPr>
          <w:rFonts w:ascii="Century Gothic" w:hAnsi="Century Gothic"/>
          <w:sz w:val="24"/>
          <w:szCs w:val="24"/>
          <w:lang w:val="en-US"/>
        </w:rPr>
        <w:t>d participants from 45+ countries, spanning Africa, the Middle East, Europe, Asia, and the Americas.</w:t>
      </w:r>
    </w:p>
    <w:p w14:paraId="4D307204" w14:textId="77777777" w:rsidR="009F7359" w:rsidRPr="00D2793A" w:rsidRDefault="00340EDD">
      <w:pPr>
        <w:jc w:val="both"/>
        <w:rPr>
          <w:rFonts w:ascii="Century Gothic" w:hAnsi="Century Gothic"/>
          <w:b/>
          <w:bCs/>
          <w:sz w:val="24"/>
          <w:szCs w:val="24"/>
        </w:rPr>
      </w:pPr>
      <w:r w:rsidRPr="00D2793A">
        <w:rPr>
          <w:rFonts w:ascii="Century Gothic" w:hAnsi="Century Gothic"/>
          <w:b/>
          <w:bCs/>
          <w:sz w:val="24"/>
          <w:szCs w:val="24"/>
          <w:lang w:val="en-US"/>
        </w:rPr>
        <w:t>A Strategic Platform at a Defining Moment</w:t>
      </w:r>
    </w:p>
    <w:p w14:paraId="18605CC5"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Africa stands at a critical crossroads. The continent holds vast oil, gas, and renewable resources, yet continues</w:t>
      </w:r>
      <w:r w:rsidRPr="00D2793A">
        <w:rPr>
          <w:rFonts w:ascii="Century Gothic" w:hAnsi="Century Gothic"/>
          <w:sz w:val="24"/>
          <w:szCs w:val="24"/>
          <w:lang w:val="en-US"/>
        </w:rPr>
        <w:t xml:space="preserve"> to face energy access gaps, infrastructure deficits, and underdeveloped value chains. IAEOGS Namibia 2026 positions itself as a high-level, solution-driven platform to address these challenges.</w:t>
      </w:r>
    </w:p>
    <w:p w14:paraId="75969B83"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The Summit will convene government leaders, national oil comp</w:t>
      </w:r>
      <w:r w:rsidRPr="00D2793A">
        <w:rPr>
          <w:rFonts w:ascii="Century Gothic" w:hAnsi="Century Gothic"/>
          <w:sz w:val="24"/>
          <w:szCs w:val="24"/>
          <w:lang w:val="en-US"/>
        </w:rPr>
        <w:t>anies, global energy firms, financiers, regulators, technology providers, development institutions, and thought leaders to accelerate partnerships that unlock sustainable investment and drive inclusive growth.</w:t>
      </w:r>
    </w:p>
    <w:p w14:paraId="5B0B2D6F" w14:textId="77777777" w:rsidR="009F7359" w:rsidRPr="00D2793A" w:rsidRDefault="00340EDD">
      <w:pPr>
        <w:jc w:val="both"/>
        <w:rPr>
          <w:rFonts w:ascii="Century Gothic" w:hAnsi="Century Gothic"/>
          <w:sz w:val="24"/>
          <w:szCs w:val="24"/>
        </w:rPr>
      </w:pPr>
      <w:r w:rsidRPr="00D2793A">
        <w:rPr>
          <w:rFonts w:ascii="Century Gothic" w:hAnsi="Century Gothic"/>
          <w:b/>
          <w:bCs/>
          <w:sz w:val="24"/>
          <w:szCs w:val="24"/>
          <w:lang w:val="en-US"/>
        </w:rPr>
        <w:t>Summit Focus</w:t>
      </w:r>
    </w:p>
    <w:p w14:paraId="7FE70D52"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IAEOGS Namibia 2026 will address </w:t>
      </w:r>
      <w:r w:rsidRPr="00D2793A">
        <w:rPr>
          <w:rFonts w:ascii="Century Gothic" w:hAnsi="Century Gothic"/>
          <w:sz w:val="24"/>
          <w:szCs w:val="24"/>
          <w:lang w:val="en-US"/>
        </w:rPr>
        <w:t>key strategic themes shaping Africa’s energy future, including:</w:t>
      </w:r>
    </w:p>
    <w:p w14:paraId="2565D2EC"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Energy access and power infrastructure development</w:t>
      </w:r>
    </w:p>
    <w:p w14:paraId="56E57BCA"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Local content and regional value chain integration</w:t>
      </w:r>
    </w:p>
    <w:p w14:paraId="14BF4A6D"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 xml:space="preserve">LNG security and gas </w:t>
      </w:r>
      <w:proofErr w:type="spellStart"/>
      <w:r w:rsidRPr="00D2793A">
        <w:rPr>
          <w:rFonts w:ascii="Century Gothic" w:hAnsi="Century Gothic"/>
          <w:sz w:val="24"/>
          <w:szCs w:val="24"/>
          <w:lang w:val="en-US"/>
        </w:rPr>
        <w:t>monetisation</w:t>
      </w:r>
      <w:proofErr w:type="spellEnd"/>
    </w:p>
    <w:p w14:paraId="722FD139" w14:textId="77777777" w:rsidR="009F7359" w:rsidRPr="00D2793A" w:rsidRDefault="00340EDD">
      <w:pPr>
        <w:pStyle w:val="ListParagraph1"/>
        <w:numPr>
          <w:ilvl w:val="0"/>
          <w:numId w:val="1"/>
        </w:numPr>
        <w:jc w:val="both"/>
        <w:rPr>
          <w:rFonts w:ascii="Century Gothic" w:hAnsi="Century Gothic"/>
          <w:sz w:val="24"/>
          <w:szCs w:val="24"/>
        </w:rPr>
      </w:pPr>
      <w:proofErr w:type="spellStart"/>
      <w:r w:rsidRPr="00D2793A">
        <w:rPr>
          <w:rFonts w:ascii="Century Gothic" w:hAnsi="Century Gothic"/>
          <w:sz w:val="24"/>
          <w:szCs w:val="24"/>
          <w:lang w:val="en-US"/>
        </w:rPr>
        <w:t>Decarbonisation</w:t>
      </w:r>
      <w:proofErr w:type="spellEnd"/>
      <w:r w:rsidRPr="00D2793A">
        <w:rPr>
          <w:rFonts w:ascii="Century Gothic" w:hAnsi="Century Gothic"/>
          <w:sz w:val="24"/>
          <w:szCs w:val="24"/>
          <w:lang w:val="en-US"/>
        </w:rPr>
        <w:t xml:space="preserve"> pathways for emerging economies</w:t>
      </w:r>
    </w:p>
    <w:p w14:paraId="6E6932FB"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Hydrogen</w:t>
      </w:r>
      <w:r w:rsidRPr="00D2793A">
        <w:rPr>
          <w:rFonts w:ascii="Century Gothic" w:hAnsi="Century Gothic"/>
          <w:sz w:val="24"/>
          <w:szCs w:val="24"/>
          <w:lang w:val="en-US"/>
        </w:rPr>
        <w:t xml:space="preserve"> and ammonia market expansion</w:t>
      </w:r>
    </w:p>
    <w:p w14:paraId="36CC6031"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Carbon pricing and climate finance</w:t>
      </w:r>
    </w:p>
    <w:p w14:paraId="7D76854F" w14:textId="77777777" w:rsidR="009F7359" w:rsidRPr="00D2793A" w:rsidRDefault="00340EDD">
      <w:pPr>
        <w:pStyle w:val="ListParagraph1"/>
        <w:numPr>
          <w:ilvl w:val="0"/>
          <w:numId w:val="1"/>
        </w:numPr>
        <w:jc w:val="both"/>
        <w:rPr>
          <w:rFonts w:ascii="Century Gothic" w:hAnsi="Century Gothic"/>
          <w:sz w:val="24"/>
          <w:szCs w:val="24"/>
        </w:rPr>
      </w:pPr>
      <w:r w:rsidRPr="00D2793A">
        <w:rPr>
          <w:rFonts w:ascii="Century Gothic" w:hAnsi="Century Gothic"/>
          <w:sz w:val="24"/>
          <w:szCs w:val="24"/>
          <w:lang w:val="en-US"/>
        </w:rPr>
        <w:t>Clean energy investment and energy transition strategies</w:t>
      </w:r>
    </w:p>
    <w:p w14:paraId="73862D33" w14:textId="77777777" w:rsidR="009F7359" w:rsidRPr="00D2793A" w:rsidRDefault="00340EDD">
      <w:pPr>
        <w:jc w:val="both"/>
        <w:rPr>
          <w:rFonts w:ascii="Century Gothic" w:hAnsi="Century Gothic"/>
          <w:sz w:val="24"/>
          <w:szCs w:val="24"/>
          <w:lang w:val="en-US"/>
        </w:rPr>
      </w:pPr>
      <w:r w:rsidRPr="00D2793A">
        <w:rPr>
          <w:rFonts w:ascii="Century Gothic" w:hAnsi="Century Gothic"/>
          <w:sz w:val="24"/>
          <w:szCs w:val="24"/>
          <w:lang w:val="en-US"/>
        </w:rPr>
        <w:lastRenderedPageBreak/>
        <w:t xml:space="preserve">The </w:t>
      </w:r>
      <w:proofErr w:type="spellStart"/>
      <w:r w:rsidRPr="00D2793A">
        <w:rPr>
          <w:rFonts w:ascii="Century Gothic" w:hAnsi="Century Gothic"/>
          <w:sz w:val="24"/>
          <w:szCs w:val="24"/>
          <w:lang w:val="en-US"/>
        </w:rPr>
        <w:t>programme</w:t>
      </w:r>
      <w:proofErr w:type="spellEnd"/>
      <w:r w:rsidRPr="00D2793A">
        <w:rPr>
          <w:rFonts w:ascii="Century Gothic" w:hAnsi="Century Gothic"/>
          <w:sz w:val="24"/>
          <w:szCs w:val="24"/>
          <w:lang w:val="en-US"/>
        </w:rPr>
        <w:t xml:space="preserve"> will feature ministerial panels, CEO roundtables, investor-led sessions, policy dialogues, technical presentations, exhi</w:t>
      </w:r>
      <w:r w:rsidRPr="00D2793A">
        <w:rPr>
          <w:rFonts w:ascii="Century Gothic" w:hAnsi="Century Gothic"/>
          <w:sz w:val="24"/>
          <w:szCs w:val="24"/>
          <w:lang w:val="en-US"/>
        </w:rPr>
        <w:t>bitions, as well as awards ceremonies, curated tours, and a Charity Golf Tournament supporting youth entrepreneurship and skills development.</w:t>
      </w:r>
    </w:p>
    <w:p w14:paraId="2DD4CAF4" w14:textId="77777777" w:rsidR="009F7359" w:rsidRPr="00D2793A" w:rsidRDefault="00340EDD">
      <w:pPr>
        <w:jc w:val="both"/>
        <w:rPr>
          <w:rFonts w:ascii="Century Gothic" w:hAnsi="Century Gothic"/>
          <w:sz w:val="24"/>
          <w:szCs w:val="24"/>
        </w:rPr>
      </w:pPr>
      <w:r w:rsidRPr="00D2793A">
        <w:rPr>
          <w:rFonts w:ascii="Century Gothic" w:hAnsi="Century Gothic"/>
          <w:b/>
          <w:bCs/>
          <w:sz w:val="24"/>
          <w:szCs w:val="24"/>
          <w:lang w:val="en-US"/>
        </w:rPr>
        <w:t xml:space="preserve">Supporting </w:t>
      </w:r>
      <w:proofErr w:type="spellStart"/>
      <w:r w:rsidRPr="00D2793A">
        <w:rPr>
          <w:rFonts w:ascii="Century Gothic" w:hAnsi="Century Gothic"/>
          <w:b/>
          <w:bCs/>
          <w:sz w:val="24"/>
          <w:szCs w:val="24"/>
          <w:lang w:val="en-US"/>
        </w:rPr>
        <w:t>AfCFTA</w:t>
      </w:r>
      <w:proofErr w:type="spellEnd"/>
      <w:r w:rsidRPr="00D2793A">
        <w:rPr>
          <w:rFonts w:ascii="Century Gothic" w:hAnsi="Century Gothic"/>
          <w:b/>
          <w:bCs/>
          <w:sz w:val="24"/>
          <w:szCs w:val="24"/>
          <w:lang w:val="en-US"/>
        </w:rPr>
        <w:t xml:space="preserve"> and Regional Integration</w:t>
      </w:r>
    </w:p>
    <w:p w14:paraId="3B4C908B"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IAEOGS 2026 is an independent initiative aligned with the objectives of</w:t>
      </w:r>
      <w:r w:rsidRPr="00D2793A">
        <w:rPr>
          <w:rFonts w:ascii="Century Gothic" w:hAnsi="Century Gothic"/>
          <w:sz w:val="24"/>
          <w:szCs w:val="24"/>
          <w:lang w:val="en-US"/>
        </w:rPr>
        <w:t xml:space="preserve"> the African Continental Free Trade Area (</w:t>
      </w:r>
      <w:proofErr w:type="spellStart"/>
      <w:r w:rsidRPr="00D2793A">
        <w:rPr>
          <w:rFonts w:ascii="Century Gothic" w:hAnsi="Century Gothic"/>
          <w:sz w:val="24"/>
          <w:szCs w:val="24"/>
          <w:lang w:val="en-US"/>
        </w:rPr>
        <w:t>AfCFTA</w:t>
      </w:r>
      <w:proofErr w:type="spellEnd"/>
      <w:r w:rsidRPr="00D2793A">
        <w:rPr>
          <w:rFonts w:ascii="Century Gothic" w:hAnsi="Century Gothic"/>
          <w:sz w:val="24"/>
          <w:szCs w:val="24"/>
          <w:lang w:val="en-US"/>
        </w:rPr>
        <w:t>), which seeks to create a unified continental market of over 1.3 billion people with a combined GDP exceeding USD 3.4 trillion.</w:t>
      </w:r>
    </w:p>
    <w:p w14:paraId="6B8AD06E"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Despite this potential, intra-African trade remains below 15 percent. The Summi</w:t>
      </w:r>
      <w:r w:rsidRPr="00D2793A">
        <w:rPr>
          <w:rFonts w:ascii="Century Gothic" w:hAnsi="Century Gothic"/>
          <w:sz w:val="24"/>
          <w:szCs w:val="24"/>
          <w:lang w:val="en-US"/>
        </w:rPr>
        <w:t>t aims to contribute to reversing this trend by promoting cross-border energy projects, regional supply chains, and investment partnerships that strengthen Africa’s competitiveness and energy security.</w:t>
      </w:r>
    </w:p>
    <w:p w14:paraId="4D309D65" w14:textId="77777777" w:rsidR="009F7359" w:rsidRPr="00D2793A" w:rsidRDefault="00340EDD">
      <w:pPr>
        <w:jc w:val="both"/>
        <w:rPr>
          <w:rFonts w:ascii="Century Gothic" w:hAnsi="Century Gothic"/>
          <w:sz w:val="24"/>
          <w:szCs w:val="24"/>
        </w:rPr>
      </w:pPr>
      <w:r w:rsidRPr="00D2793A">
        <w:rPr>
          <w:rFonts w:ascii="Century Gothic" w:hAnsi="Century Gothic"/>
          <w:b/>
          <w:bCs/>
          <w:sz w:val="24"/>
          <w:szCs w:val="24"/>
          <w:lang w:val="en-US"/>
        </w:rPr>
        <w:t>Travel and Participation Information for Delegates</w:t>
      </w:r>
    </w:p>
    <w:p w14:paraId="016D96FD"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To </w:t>
      </w:r>
      <w:r w:rsidRPr="00D2793A">
        <w:rPr>
          <w:rFonts w:ascii="Century Gothic" w:hAnsi="Century Gothic"/>
          <w:sz w:val="24"/>
          <w:szCs w:val="24"/>
          <w:lang w:val="en-US"/>
        </w:rPr>
        <w:t>ensure a seamless and premium experience, participants are advised to note the following:</w:t>
      </w:r>
    </w:p>
    <w:p w14:paraId="0C06F0DB" w14:textId="77777777" w:rsidR="009F7359" w:rsidRPr="00D2793A" w:rsidRDefault="00340EDD">
      <w:pPr>
        <w:jc w:val="both"/>
        <w:rPr>
          <w:rFonts w:ascii="Century Gothic" w:hAnsi="Century Gothic"/>
          <w:b/>
          <w:bCs/>
          <w:sz w:val="24"/>
          <w:szCs w:val="24"/>
        </w:rPr>
      </w:pPr>
      <w:r w:rsidRPr="00D2793A">
        <w:rPr>
          <w:rFonts w:ascii="Century Gothic" w:hAnsi="Century Gothic"/>
          <w:b/>
          <w:bCs/>
          <w:sz w:val="24"/>
          <w:szCs w:val="24"/>
          <w:lang w:val="en-US"/>
        </w:rPr>
        <w:t>Visa and Entry Requirements</w:t>
      </w:r>
    </w:p>
    <w:p w14:paraId="0AA2B2DE"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Delegates should confirm visa requirements for entry into Namibia well in advance.</w:t>
      </w:r>
    </w:p>
    <w:p w14:paraId="02BC3652"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Official invitation letters will be issued upon request</w:t>
      </w:r>
      <w:r w:rsidRPr="00D2793A">
        <w:rPr>
          <w:rFonts w:ascii="Century Gothic" w:hAnsi="Century Gothic"/>
          <w:sz w:val="24"/>
          <w:szCs w:val="24"/>
          <w:lang w:val="en-US"/>
        </w:rPr>
        <w:t xml:space="preserve"> to support visa applications.</w:t>
      </w:r>
    </w:p>
    <w:p w14:paraId="2486C927"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Passports should be valid for at least six (6) months from the date of entry.</w:t>
      </w:r>
    </w:p>
    <w:p w14:paraId="2AAA789A" w14:textId="77777777" w:rsidR="009F7359" w:rsidRPr="00D2793A" w:rsidRDefault="00340EDD">
      <w:pPr>
        <w:jc w:val="both"/>
        <w:rPr>
          <w:rFonts w:ascii="Century Gothic" w:hAnsi="Century Gothic"/>
          <w:b/>
          <w:bCs/>
          <w:sz w:val="24"/>
          <w:szCs w:val="24"/>
        </w:rPr>
      </w:pPr>
      <w:r w:rsidRPr="00D2793A">
        <w:rPr>
          <w:rFonts w:ascii="Century Gothic" w:hAnsi="Century Gothic"/>
          <w:b/>
          <w:bCs/>
          <w:sz w:val="24"/>
          <w:szCs w:val="24"/>
          <w:lang w:val="en-US"/>
        </w:rPr>
        <w:t>Accommodation</w:t>
      </w:r>
    </w:p>
    <w:p w14:paraId="72BF301F"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A list of official partner hotels in Windhoek will be shared with registered delegates.</w:t>
      </w:r>
    </w:p>
    <w:p w14:paraId="63E34E8B"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Early reservations are strongly recommended </w:t>
      </w:r>
      <w:r w:rsidRPr="00D2793A">
        <w:rPr>
          <w:rFonts w:ascii="Century Gothic" w:hAnsi="Century Gothic"/>
          <w:sz w:val="24"/>
          <w:szCs w:val="24"/>
          <w:lang w:val="en-US"/>
        </w:rPr>
        <w:t>due to high demand.</w:t>
      </w:r>
    </w:p>
    <w:p w14:paraId="413F07C6" w14:textId="77777777" w:rsidR="009F7359" w:rsidRPr="00D2793A" w:rsidRDefault="00340EDD">
      <w:pPr>
        <w:jc w:val="both"/>
        <w:rPr>
          <w:rFonts w:ascii="Century Gothic" w:hAnsi="Century Gothic"/>
          <w:b/>
          <w:bCs/>
          <w:sz w:val="24"/>
          <w:szCs w:val="24"/>
        </w:rPr>
      </w:pPr>
      <w:r w:rsidRPr="00D2793A">
        <w:rPr>
          <w:rFonts w:ascii="Century Gothic" w:hAnsi="Century Gothic"/>
          <w:b/>
          <w:bCs/>
          <w:sz w:val="24"/>
          <w:szCs w:val="24"/>
          <w:lang w:val="en-US"/>
        </w:rPr>
        <w:t>Flights and Transfers</w:t>
      </w:r>
    </w:p>
    <w:p w14:paraId="56E29981"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The primary entry point is Windhoek Hosea </w:t>
      </w:r>
      <w:proofErr w:type="spellStart"/>
      <w:r w:rsidRPr="00D2793A">
        <w:rPr>
          <w:rFonts w:ascii="Century Gothic" w:hAnsi="Century Gothic"/>
          <w:sz w:val="24"/>
          <w:szCs w:val="24"/>
          <w:lang w:val="en-US"/>
        </w:rPr>
        <w:t>Kutako</w:t>
      </w:r>
      <w:proofErr w:type="spellEnd"/>
      <w:r w:rsidRPr="00D2793A">
        <w:rPr>
          <w:rFonts w:ascii="Century Gothic" w:hAnsi="Century Gothic"/>
          <w:sz w:val="24"/>
          <w:szCs w:val="24"/>
          <w:lang w:val="en-US"/>
        </w:rPr>
        <w:t>, international airport, Namibia</w:t>
      </w:r>
    </w:p>
    <w:p w14:paraId="68DECBFD"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Airport transfers will be arranged for VIP delegates, speakers, and sponsors.</w:t>
      </w:r>
    </w:p>
    <w:p w14:paraId="11C568D8" w14:textId="77777777" w:rsidR="009F7359" w:rsidRPr="00D2793A" w:rsidRDefault="00340EDD">
      <w:pPr>
        <w:jc w:val="both"/>
        <w:rPr>
          <w:rFonts w:ascii="Century Gothic" w:hAnsi="Century Gothic"/>
          <w:b/>
          <w:bCs/>
          <w:sz w:val="24"/>
          <w:szCs w:val="24"/>
        </w:rPr>
      </w:pPr>
      <w:r w:rsidRPr="00D2793A">
        <w:rPr>
          <w:rFonts w:ascii="Century Gothic" w:hAnsi="Century Gothic"/>
          <w:b/>
          <w:bCs/>
          <w:sz w:val="24"/>
          <w:szCs w:val="24"/>
          <w:lang w:val="en-US"/>
        </w:rPr>
        <w:t>On-Site Logistics</w:t>
      </w:r>
    </w:p>
    <w:p w14:paraId="6FD674A1"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Venue details will be communicated to</w:t>
      </w:r>
      <w:r w:rsidRPr="00D2793A">
        <w:rPr>
          <w:rFonts w:ascii="Century Gothic" w:hAnsi="Century Gothic"/>
          <w:sz w:val="24"/>
          <w:szCs w:val="24"/>
          <w:lang w:val="en-US"/>
        </w:rPr>
        <w:t xml:space="preserve"> confirmed participants.</w:t>
      </w:r>
    </w:p>
    <w:p w14:paraId="458F26FF"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Registration will open a day prior to the Summit.</w:t>
      </w:r>
    </w:p>
    <w:p w14:paraId="1273E37C"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lastRenderedPageBreak/>
        <w:t>Dedicated shuttle services will operate between official hotels and the Summit venue.</w:t>
      </w:r>
    </w:p>
    <w:p w14:paraId="311B1B04" w14:textId="77777777" w:rsidR="009F7359" w:rsidRPr="00D2793A" w:rsidRDefault="00340EDD">
      <w:pPr>
        <w:jc w:val="both"/>
        <w:rPr>
          <w:rFonts w:ascii="Century Gothic" w:hAnsi="Century Gothic"/>
          <w:sz w:val="24"/>
          <w:szCs w:val="24"/>
        </w:rPr>
      </w:pPr>
      <w:r w:rsidRPr="00D2793A">
        <w:rPr>
          <w:rFonts w:ascii="Century Gothic" w:hAnsi="Century Gothic"/>
          <w:b/>
          <w:bCs/>
          <w:sz w:val="24"/>
          <w:szCs w:val="24"/>
          <w:lang w:val="en-US"/>
        </w:rPr>
        <w:t>Looking Ahead</w:t>
      </w:r>
    </w:p>
    <w:p w14:paraId="0B778839"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IAEOGS Namibia 2026 promises to deliver a professionally curated, globally releva</w:t>
      </w:r>
      <w:r w:rsidRPr="00D2793A">
        <w:rPr>
          <w:rFonts w:ascii="Century Gothic" w:hAnsi="Century Gothic"/>
          <w:sz w:val="24"/>
          <w:szCs w:val="24"/>
          <w:lang w:val="en-US"/>
        </w:rPr>
        <w:t>nt Summit where policy meets capital, innovation meets opportunity, and Africa’s energy future is actively shaped.</w:t>
      </w:r>
    </w:p>
    <w:p w14:paraId="7A973928"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 xml:space="preserve">Further announcements on speakers, partnerships, and </w:t>
      </w:r>
      <w:proofErr w:type="spellStart"/>
      <w:r w:rsidRPr="00D2793A">
        <w:rPr>
          <w:rFonts w:ascii="Century Gothic" w:hAnsi="Century Gothic"/>
          <w:sz w:val="24"/>
          <w:szCs w:val="24"/>
          <w:lang w:val="en-US"/>
        </w:rPr>
        <w:t>programme</w:t>
      </w:r>
      <w:proofErr w:type="spellEnd"/>
      <w:r w:rsidRPr="00D2793A">
        <w:rPr>
          <w:rFonts w:ascii="Century Gothic" w:hAnsi="Century Gothic"/>
          <w:sz w:val="24"/>
          <w:szCs w:val="24"/>
          <w:lang w:val="en-US"/>
        </w:rPr>
        <w:t xml:space="preserve"> highlights will follow.</w:t>
      </w:r>
    </w:p>
    <w:p w14:paraId="2309E3CC" w14:textId="77777777" w:rsidR="009F7359" w:rsidRPr="00D2793A" w:rsidRDefault="00340EDD">
      <w:pPr>
        <w:jc w:val="both"/>
        <w:rPr>
          <w:rFonts w:ascii="Century Gothic" w:hAnsi="Century Gothic"/>
          <w:sz w:val="24"/>
          <w:szCs w:val="24"/>
        </w:rPr>
      </w:pPr>
      <w:r w:rsidRPr="00D2793A">
        <w:rPr>
          <w:rFonts w:ascii="Century Gothic" w:hAnsi="Century Gothic"/>
          <w:sz w:val="24"/>
          <w:szCs w:val="24"/>
          <w:lang w:val="en-US"/>
        </w:rPr>
        <w:t>For registration and participation details, please vis</w:t>
      </w:r>
      <w:r w:rsidRPr="00D2793A">
        <w:rPr>
          <w:rFonts w:ascii="Century Gothic" w:hAnsi="Century Gothic"/>
          <w:sz w:val="24"/>
          <w:szCs w:val="24"/>
          <w:lang w:val="en-US"/>
        </w:rPr>
        <w:t>it:</w:t>
      </w:r>
    </w:p>
    <w:p w14:paraId="3DA1CF11" w14:textId="38CF90D2" w:rsidR="009F7359" w:rsidRDefault="00340EDD">
      <w:pPr>
        <w:jc w:val="both"/>
        <w:rPr>
          <w:rFonts w:ascii="Century Gothic" w:hAnsi="Century Gothic"/>
          <w:sz w:val="24"/>
          <w:szCs w:val="24"/>
          <w:lang w:val="en-US"/>
        </w:rPr>
      </w:pPr>
      <w:hyperlink r:id="rId7" w:history="1">
        <w:r w:rsidRPr="006A1C44">
          <w:rPr>
            <w:rStyle w:val="Hyperlink"/>
            <w:rFonts w:ascii="Century Gothic" w:hAnsi="Century Gothic"/>
            <w:sz w:val="24"/>
            <w:szCs w:val="24"/>
            <w:lang w:val="en-US"/>
          </w:rPr>
          <w:t>www.iaeogs.com</w:t>
        </w:r>
      </w:hyperlink>
    </w:p>
    <w:p w14:paraId="464AC787" w14:textId="77777777" w:rsidR="00340EDD" w:rsidRDefault="00340EDD">
      <w:pPr>
        <w:jc w:val="both"/>
        <w:rPr>
          <w:rFonts w:ascii="Century Gothic" w:hAnsi="Century Gothic"/>
          <w:sz w:val="24"/>
          <w:szCs w:val="24"/>
          <w:lang w:val="en-US"/>
        </w:rPr>
      </w:pPr>
      <w:bookmarkStart w:id="0" w:name="_GoBack"/>
      <w:bookmarkEnd w:id="0"/>
    </w:p>
    <w:p w14:paraId="5432B998" w14:textId="77777777" w:rsidR="00340EDD" w:rsidRDefault="00340EDD" w:rsidP="00340EDD">
      <w:pPr>
        <w:shd w:val="clear" w:color="auto" w:fill="FFFFFF"/>
        <w:spacing w:after="0" w:line="240" w:lineRule="auto"/>
        <w:jc w:val="both"/>
        <w:rPr>
          <w:rFonts w:ascii="Century Gothic" w:eastAsia="Times New Roman" w:hAnsi="Century Gothic" w:cs="Arial"/>
          <w:b/>
          <w:color w:val="222222"/>
          <w:sz w:val="24"/>
          <w:szCs w:val="24"/>
        </w:rPr>
      </w:pPr>
      <w:r w:rsidRPr="00BC481C">
        <w:rPr>
          <w:rFonts w:ascii="Century Gothic" w:eastAsia="Times New Roman" w:hAnsi="Century Gothic" w:cs="Arial"/>
          <w:b/>
          <w:color w:val="222222"/>
          <w:sz w:val="24"/>
          <w:szCs w:val="24"/>
        </w:rPr>
        <w:t>Issued by:</w:t>
      </w:r>
    </w:p>
    <w:p w14:paraId="3906DD67" w14:textId="77777777" w:rsidR="00340EDD" w:rsidRPr="00CB207F" w:rsidRDefault="00340EDD" w:rsidP="00340EDD">
      <w:pPr>
        <w:shd w:val="clear" w:color="auto" w:fill="FFFFFF"/>
        <w:spacing w:after="0" w:line="240" w:lineRule="auto"/>
        <w:jc w:val="both"/>
        <w:rPr>
          <w:rFonts w:ascii="Century Gothic" w:eastAsia="Times New Roman" w:hAnsi="Century Gothic" w:cs="Arial"/>
          <w:b/>
          <w:color w:val="222222"/>
          <w:sz w:val="24"/>
          <w:szCs w:val="24"/>
        </w:rPr>
      </w:pPr>
    </w:p>
    <w:p w14:paraId="57688272" w14:textId="77777777" w:rsidR="00340EDD" w:rsidRDefault="00340EDD" w:rsidP="00340EDD">
      <w:pPr>
        <w:shd w:val="clear" w:color="auto" w:fill="FFFFFF"/>
        <w:spacing w:after="0" w:line="240" w:lineRule="auto"/>
        <w:jc w:val="both"/>
        <w:rPr>
          <w:rFonts w:ascii="Century Gothic" w:eastAsia="Times New Roman" w:hAnsi="Century Gothic" w:cs="Arial"/>
          <w:color w:val="222222"/>
          <w:sz w:val="24"/>
          <w:szCs w:val="24"/>
        </w:rPr>
      </w:pPr>
      <w:r w:rsidRPr="00CB207F">
        <w:rPr>
          <w:rFonts w:ascii="Century Gothic" w:eastAsia="Times New Roman" w:hAnsi="Century Gothic" w:cs="Arial"/>
          <w:color w:val="222222"/>
          <w:sz w:val="24"/>
          <w:szCs w:val="24"/>
        </w:rPr>
        <w:t>The IAEGOS 2026 Organizing Committee</w:t>
      </w:r>
    </w:p>
    <w:p w14:paraId="5F613AEF" w14:textId="188753AA" w:rsidR="00340EDD" w:rsidRDefault="00340EDD" w:rsidP="00340EDD">
      <w:pPr>
        <w:shd w:val="clear" w:color="auto" w:fill="FFFFFF"/>
        <w:spacing w:after="0" w:line="240" w:lineRule="auto"/>
        <w:jc w:val="both"/>
        <w:rPr>
          <w:rFonts w:ascii="Century Gothic" w:eastAsia="Times New Roman" w:hAnsi="Century Gothic" w:cs="Arial"/>
          <w:color w:val="222222"/>
          <w:sz w:val="24"/>
          <w:szCs w:val="24"/>
        </w:rPr>
      </w:pPr>
      <w:r>
        <w:rPr>
          <w:rFonts w:ascii="Century Gothic" w:eastAsia="Times New Roman" w:hAnsi="Century Gothic" w:cs="Arial"/>
          <w:color w:val="222222"/>
          <w:sz w:val="24"/>
          <w:szCs w:val="24"/>
        </w:rPr>
        <w:t>29</w:t>
      </w:r>
      <w:r w:rsidRPr="00340EDD">
        <w:rPr>
          <w:rFonts w:ascii="Century Gothic" w:eastAsia="Times New Roman" w:hAnsi="Century Gothic" w:cs="Arial"/>
          <w:color w:val="222222"/>
          <w:sz w:val="24"/>
          <w:szCs w:val="24"/>
          <w:vertAlign w:val="superscript"/>
        </w:rPr>
        <w:t>th</w:t>
      </w:r>
      <w:r>
        <w:rPr>
          <w:rFonts w:ascii="Century Gothic" w:eastAsia="Times New Roman" w:hAnsi="Century Gothic" w:cs="Arial"/>
          <w:color w:val="222222"/>
          <w:sz w:val="24"/>
          <w:szCs w:val="24"/>
        </w:rPr>
        <w:t>, September, 2026</w:t>
      </w:r>
    </w:p>
    <w:p w14:paraId="301ED5C4" w14:textId="77777777" w:rsidR="00340EDD" w:rsidRPr="00CB207F" w:rsidRDefault="00340EDD" w:rsidP="00340EDD">
      <w:pPr>
        <w:shd w:val="clear" w:color="auto" w:fill="FFFFFF"/>
        <w:spacing w:after="0" w:line="240" w:lineRule="auto"/>
        <w:jc w:val="both"/>
        <w:rPr>
          <w:rFonts w:ascii="Century Gothic" w:eastAsia="Times New Roman" w:hAnsi="Century Gothic" w:cs="Arial"/>
          <w:color w:val="222222"/>
          <w:sz w:val="24"/>
          <w:szCs w:val="24"/>
        </w:rPr>
      </w:pPr>
    </w:p>
    <w:p w14:paraId="29FB8C1B" w14:textId="77777777" w:rsidR="00340EDD" w:rsidRDefault="00340EDD" w:rsidP="00340EDD">
      <w:pPr>
        <w:shd w:val="clear" w:color="auto" w:fill="FFFFFF"/>
        <w:spacing w:after="0" w:line="240" w:lineRule="auto"/>
        <w:jc w:val="both"/>
        <w:rPr>
          <w:rFonts w:ascii="Century Gothic" w:hAnsi="Century Gothic"/>
          <w:color w:val="1A1A1A"/>
          <w:sz w:val="24"/>
          <w:szCs w:val="24"/>
          <w:shd w:val="clear" w:color="auto" w:fill="FFFFFF"/>
        </w:rPr>
      </w:pPr>
      <w:r>
        <w:rPr>
          <w:rFonts w:ascii="Century Gothic" w:hAnsi="Century Gothic"/>
          <w:color w:val="1A1A1A"/>
          <w:sz w:val="24"/>
          <w:szCs w:val="24"/>
          <w:shd w:val="clear" w:color="auto" w:fill="FFFFFF"/>
        </w:rPr>
        <w:t xml:space="preserve">Prudence </w:t>
      </w:r>
      <w:proofErr w:type="spellStart"/>
      <w:r>
        <w:rPr>
          <w:rFonts w:ascii="Century Gothic" w:hAnsi="Century Gothic"/>
          <w:color w:val="1A1A1A"/>
          <w:sz w:val="24"/>
          <w:szCs w:val="24"/>
          <w:shd w:val="clear" w:color="auto" w:fill="FFFFFF"/>
        </w:rPr>
        <w:t>Ramotso</w:t>
      </w:r>
      <w:proofErr w:type="spellEnd"/>
    </w:p>
    <w:p w14:paraId="323AC1B9" w14:textId="77777777" w:rsidR="00340EDD" w:rsidRDefault="00340EDD" w:rsidP="00340EDD">
      <w:pPr>
        <w:shd w:val="clear" w:color="auto" w:fill="FFFFFF"/>
        <w:spacing w:after="0" w:line="240" w:lineRule="auto"/>
        <w:jc w:val="both"/>
        <w:rPr>
          <w:rFonts w:ascii="Century Gothic" w:hAnsi="Century Gothic"/>
          <w:color w:val="1A1A1A"/>
          <w:sz w:val="24"/>
          <w:szCs w:val="24"/>
          <w:shd w:val="clear" w:color="auto" w:fill="FFFFFF"/>
        </w:rPr>
      </w:pPr>
      <w:r>
        <w:rPr>
          <w:rFonts w:ascii="Century Gothic" w:hAnsi="Century Gothic"/>
          <w:color w:val="1A1A1A"/>
          <w:sz w:val="24"/>
          <w:szCs w:val="24"/>
          <w:shd w:val="clear" w:color="auto" w:fill="FFFFFF"/>
        </w:rPr>
        <w:t xml:space="preserve">Group Head Events &amp; International Affairs </w:t>
      </w:r>
    </w:p>
    <w:p w14:paraId="1326AEDA" w14:textId="77777777" w:rsidR="00340EDD" w:rsidRDefault="00340EDD" w:rsidP="00340EDD">
      <w:pPr>
        <w:spacing w:after="0" w:line="240" w:lineRule="auto"/>
        <w:jc w:val="both"/>
        <w:rPr>
          <w:rFonts w:ascii="Times New Roman" w:hAnsi="Times New Roman"/>
          <w:b/>
          <w:sz w:val="24"/>
          <w:szCs w:val="24"/>
        </w:rPr>
      </w:pPr>
      <w:r>
        <w:rPr>
          <w:rFonts w:ascii="Times New Roman" w:hAnsi="Times New Roman"/>
          <w:b/>
          <w:sz w:val="24"/>
          <w:szCs w:val="24"/>
        </w:rPr>
        <w:t>+2348033975746 |</w:t>
      </w:r>
      <w:r w:rsidRPr="00F57E51">
        <w:rPr>
          <w:rFonts w:ascii="Times New Roman" w:hAnsi="Times New Roman"/>
          <w:b/>
          <w:sz w:val="24"/>
          <w:szCs w:val="24"/>
        </w:rPr>
        <w:t xml:space="preserve"> +447407399766</w:t>
      </w:r>
      <w:r>
        <w:rPr>
          <w:rFonts w:ascii="Times New Roman" w:hAnsi="Times New Roman"/>
          <w:b/>
          <w:sz w:val="24"/>
          <w:szCs w:val="24"/>
        </w:rPr>
        <w:t>, |+27651766722 | +2648123522</w:t>
      </w:r>
    </w:p>
    <w:p w14:paraId="4E0E901A" w14:textId="77777777" w:rsidR="00340EDD" w:rsidRPr="00D07855" w:rsidRDefault="00340EDD" w:rsidP="00340EDD">
      <w:pPr>
        <w:spacing w:after="0" w:line="240" w:lineRule="auto"/>
        <w:jc w:val="both"/>
        <w:rPr>
          <w:rFonts w:ascii="Century Gothic" w:hAnsi="Century Gothic"/>
          <w:sz w:val="24"/>
          <w:szCs w:val="24"/>
        </w:rPr>
      </w:pPr>
      <w:hyperlink r:id="rId8" w:history="1">
        <w:r w:rsidRPr="00D07855">
          <w:rPr>
            <w:rStyle w:val="Hyperlink"/>
            <w:rFonts w:ascii="Century Gothic" w:hAnsi="Century Gothic" w:cs="Times New Roman"/>
            <w:sz w:val="24"/>
            <w:szCs w:val="24"/>
            <w:lang w:eastAsia="zh-CN"/>
          </w:rPr>
          <w:t>info@iaegos.com</w:t>
        </w:r>
      </w:hyperlink>
      <w:r w:rsidRPr="00D07855">
        <w:rPr>
          <w:rFonts w:ascii="Century Gothic" w:hAnsi="Century Gothic" w:cs="Times New Roman"/>
          <w:sz w:val="24"/>
          <w:szCs w:val="24"/>
          <w:lang w:eastAsia="zh-CN"/>
        </w:rPr>
        <w:t xml:space="preserve"> | </w:t>
      </w:r>
      <w:hyperlink r:id="rId9" w:history="1">
        <w:r w:rsidRPr="00D07855">
          <w:rPr>
            <w:rStyle w:val="Hyperlink"/>
            <w:rFonts w:ascii="Century Gothic" w:hAnsi="Century Gothic" w:cs="Times New Roman"/>
            <w:sz w:val="24"/>
            <w:szCs w:val="24"/>
            <w:lang w:eastAsia="zh-CN"/>
          </w:rPr>
          <w:t>prudence@iaegos.com</w:t>
        </w:r>
      </w:hyperlink>
      <w:r w:rsidRPr="00D07855">
        <w:rPr>
          <w:rFonts w:ascii="Century Gothic" w:hAnsi="Century Gothic" w:cs="Times New Roman"/>
          <w:sz w:val="24"/>
          <w:szCs w:val="24"/>
          <w:lang w:eastAsia="zh-CN"/>
        </w:rPr>
        <w:t xml:space="preserve"> |</w:t>
      </w:r>
      <w:hyperlink r:id="rId10" w:history="1">
        <w:r w:rsidRPr="00D07855">
          <w:rPr>
            <w:rStyle w:val="Hyperlink"/>
            <w:rFonts w:ascii="Century Gothic" w:hAnsi="Century Gothic" w:cs="Times New Roman"/>
            <w:sz w:val="24"/>
            <w:szCs w:val="24"/>
            <w:lang w:eastAsia="zh-CN"/>
          </w:rPr>
          <w:t>registration@iaegos.com</w:t>
        </w:r>
      </w:hyperlink>
    </w:p>
    <w:p w14:paraId="1FBB040C" w14:textId="77777777" w:rsidR="00340EDD" w:rsidRPr="00D07855" w:rsidRDefault="00340EDD" w:rsidP="00340EDD">
      <w:pPr>
        <w:spacing w:after="0" w:line="240" w:lineRule="auto"/>
        <w:rPr>
          <w:rFonts w:ascii="Century Gothic" w:hAnsi="Century Gothic"/>
          <w:sz w:val="24"/>
          <w:szCs w:val="24"/>
        </w:rPr>
      </w:pPr>
      <w:r w:rsidRPr="00D07855">
        <w:rPr>
          <w:rFonts w:ascii="Century Gothic" w:hAnsi="Century Gothic"/>
          <w:i/>
          <w:sz w:val="24"/>
          <w:szCs w:val="24"/>
        </w:rPr>
        <w:t>Website:</w:t>
      </w:r>
      <w:r w:rsidRPr="00D07855">
        <w:rPr>
          <w:rFonts w:ascii="Century Gothic" w:hAnsi="Century Gothic"/>
          <w:sz w:val="24"/>
          <w:szCs w:val="24"/>
        </w:rPr>
        <w:t xml:space="preserve"> </w:t>
      </w:r>
      <w:hyperlink r:id="rId11" w:history="1">
        <w:r w:rsidRPr="00D07855">
          <w:rPr>
            <w:rStyle w:val="Hyperlink"/>
            <w:rFonts w:ascii="Century Gothic" w:hAnsi="Century Gothic"/>
            <w:sz w:val="24"/>
            <w:szCs w:val="24"/>
          </w:rPr>
          <w:t>https://africanpeace.org/</w:t>
        </w:r>
      </w:hyperlink>
    </w:p>
    <w:p w14:paraId="64970897" w14:textId="77777777" w:rsidR="00340EDD" w:rsidRPr="00D07855" w:rsidRDefault="00340EDD" w:rsidP="00340EDD">
      <w:pPr>
        <w:shd w:val="clear" w:color="auto" w:fill="FFFFFF"/>
        <w:spacing w:after="0"/>
        <w:rPr>
          <w:rStyle w:val="Hyperlink"/>
          <w:rFonts w:ascii="Century Gothic" w:hAnsi="Century Gothic" w:cs="Arial"/>
          <w:i/>
          <w:sz w:val="24"/>
          <w:szCs w:val="24"/>
        </w:rPr>
      </w:pPr>
      <w:hyperlink r:id="rId12" w:history="1">
        <w:r w:rsidRPr="00D07855">
          <w:rPr>
            <w:rStyle w:val="Hyperlink"/>
            <w:rFonts w:ascii="Century Gothic" w:hAnsi="Century Gothic" w:cs="Arial"/>
            <w:i/>
            <w:sz w:val="24"/>
            <w:szCs w:val="24"/>
          </w:rPr>
          <w:t>https://africanoilandgassummit.com/</w:t>
        </w:r>
      </w:hyperlink>
    </w:p>
    <w:p w14:paraId="11316698" w14:textId="77777777" w:rsidR="00340EDD" w:rsidRPr="00D07855" w:rsidRDefault="00340EDD" w:rsidP="00340EDD">
      <w:pPr>
        <w:shd w:val="clear" w:color="auto" w:fill="FFFFFF"/>
        <w:spacing w:after="0"/>
        <w:rPr>
          <w:rFonts w:ascii="Century Gothic" w:hAnsi="Century Gothic"/>
          <w:color w:val="0000FF" w:themeColor="hyperlink"/>
          <w:sz w:val="24"/>
          <w:szCs w:val="24"/>
          <w:u w:val="single"/>
        </w:rPr>
      </w:pPr>
      <w:r w:rsidRPr="00D07855">
        <w:rPr>
          <w:rFonts w:ascii="Century Gothic" w:hAnsi="Century Gothic"/>
          <w:color w:val="0000FF" w:themeColor="hyperlink"/>
          <w:sz w:val="24"/>
          <w:szCs w:val="24"/>
          <w:u w:val="single"/>
        </w:rPr>
        <w:t>https://www.iaeogs.com/</w:t>
      </w:r>
    </w:p>
    <w:p w14:paraId="0DF391F2" w14:textId="77777777" w:rsidR="00340EDD" w:rsidRPr="00D2793A" w:rsidRDefault="00340EDD">
      <w:pPr>
        <w:jc w:val="both"/>
        <w:rPr>
          <w:rFonts w:ascii="Century Gothic" w:hAnsi="Century Gothic"/>
          <w:sz w:val="24"/>
          <w:szCs w:val="24"/>
        </w:rPr>
      </w:pPr>
    </w:p>
    <w:sectPr w:rsidR="00340EDD" w:rsidRPr="00D279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359"/>
    <w:rsid w:val="00340EDD"/>
    <w:rsid w:val="009F7359"/>
    <w:rsid w:val="00D2793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customStyle="1" w:styleId="ListParagraph1">
    <w:name w:val="List Paragraph1"/>
    <w:basedOn w:val="Normal"/>
    <w:uiPriority w:val="34"/>
    <w:qFormat/>
    <w:pPr>
      <w:ind w:left="720"/>
      <w:contextualSpacing/>
    </w:pPr>
  </w:style>
  <w:style w:type="character" w:styleId="Hyperlink">
    <w:name w:val="Hyperlink"/>
    <w:basedOn w:val="DefaultParagraphFont"/>
    <w:rsid w:val="00340E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customStyle="1" w:styleId="ListParagraph1">
    <w:name w:val="List Paragraph1"/>
    <w:basedOn w:val="Normal"/>
    <w:uiPriority w:val="34"/>
    <w:qFormat/>
    <w:pPr>
      <w:ind w:left="720"/>
      <w:contextualSpacing/>
    </w:pPr>
  </w:style>
  <w:style w:type="character" w:styleId="Hyperlink">
    <w:name w:val="Hyperlink"/>
    <w:basedOn w:val="DefaultParagraphFont"/>
    <w:rsid w:val="00340E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nfo@iaego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aeogs.com" TargetMode="External"/><Relationship Id="rId12" Type="http://schemas.openxmlformats.org/officeDocument/2006/relationships/hyperlink" Target="https://africanoilandgassummi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fricanpeace.org/" TargetMode="External"/><Relationship Id="rId5" Type="http://schemas.openxmlformats.org/officeDocument/2006/relationships/settings" Target="settings.xml"/><Relationship Id="rId10" Type="http://schemas.openxmlformats.org/officeDocument/2006/relationships/hyperlink" Target="mailto:registration@iaegos.com" TargetMode="External"/><Relationship Id="rId4" Type="http://schemas.microsoft.com/office/2007/relationships/stylesWithEffects" Target="stylesWithEffects.xml"/><Relationship Id="rId9" Type="http://schemas.openxmlformats.org/officeDocument/2006/relationships/hyperlink" Target="mailto:prudence@iaego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2025-09-09T11:10:00Z</dcterms:created>
  <dcterms:modified xsi:type="dcterms:W3CDTF">2026-09-28T18:13:00Z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a16f2686a49c43d09680a8401d088056</vt:lpwstr>
  </property>
  <property fmtid="{D5CDD505-2E9C-101B-9397-08002B2CF9AE}" pid="3" name="KSOProductBuildVer">
    <vt:lpwstr>3081-26.8.0</vt:lpwstr>
  </property>
</Properties>
</file>